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E181A" w14:textId="77777777" w:rsidR="00AC4406" w:rsidRPr="00AC4406" w:rsidRDefault="00E20CD2" w:rsidP="00AC4406">
      <w:pPr>
        <w:pStyle w:val="a4"/>
        <w:ind w:firstLine="0"/>
        <w:jc w:val="center"/>
        <w:rPr>
          <w:b/>
          <w:bCs/>
          <w:color w:val="auto"/>
        </w:rPr>
      </w:pPr>
      <w:r w:rsidRPr="00AC4406">
        <w:rPr>
          <w:b/>
          <w:bCs/>
          <w:color w:val="auto"/>
          <w:lang w:val="en"/>
        </w:rPr>
        <w:t>EXPLANATORY NOTE</w:t>
      </w:r>
    </w:p>
    <w:p w14:paraId="017F8021" w14:textId="77777777" w:rsidR="00AC4406" w:rsidRPr="00AC4406" w:rsidRDefault="00E20CD2" w:rsidP="00AC4406">
      <w:pPr>
        <w:pStyle w:val="a4"/>
        <w:spacing w:after="280"/>
        <w:ind w:firstLine="0"/>
        <w:jc w:val="center"/>
        <w:rPr>
          <w:b/>
          <w:bCs/>
          <w:color w:val="auto"/>
        </w:rPr>
      </w:pPr>
      <w:r w:rsidRPr="00AC4406">
        <w:rPr>
          <w:b/>
          <w:bCs/>
          <w:color w:val="auto"/>
          <w:lang w:val="en"/>
        </w:rPr>
        <w:t>to the Draft Law of Ukraine "On Amendments to the Tax Code</w:t>
      </w:r>
      <w:r w:rsidRPr="00AC4406">
        <w:rPr>
          <w:b/>
          <w:bCs/>
          <w:color w:val="auto"/>
          <w:lang w:val="en"/>
        </w:rPr>
        <w:br/>
        <w:t>of Ukraine on the Revision of Excise Tax Rates on Tobacco Products"</w:t>
      </w:r>
    </w:p>
    <w:p w14:paraId="13632DEF" w14:textId="77777777" w:rsidR="00AC4406" w:rsidRPr="00AC4406" w:rsidRDefault="00E20CD2" w:rsidP="00AC4406">
      <w:pPr>
        <w:pStyle w:val="Heading10"/>
        <w:keepNext/>
        <w:keepLines/>
        <w:numPr>
          <w:ilvl w:val="0"/>
          <w:numId w:val="1"/>
        </w:numPr>
        <w:tabs>
          <w:tab w:val="left" w:pos="1278"/>
        </w:tabs>
        <w:jc w:val="both"/>
        <w:rPr>
          <w:color w:val="auto"/>
        </w:rPr>
      </w:pPr>
      <w:r w:rsidRPr="00AC4406">
        <w:rPr>
          <w:color w:val="auto"/>
          <w:lang w:val="en"/>
        </w:rPr>
        <w:t>Objective</w:t>
      </w:r>
    </w:p>
    <w:p w14:paraId="5EE5E94A" w14:textId="34F1D9A9" w:rsidR="00AC4406" w:rsidRPr="00AC4406" w:rsidRDefault="00E20CD2" w:rsidP="00AC4406">
      <w:pPr>
        <w:pStyle w:val="a4"/>
        <w:ind w:left="360" w:firstLine="560"/>
        <w:jc w:val="both"/>
        <w:rPr>
          <w:color w:val="auto"/>
        </w:rPr>
      </w:pPr>
      <w:r w:rsidRPr="00AC4406">
        <w:rPr>
          <w:color w:val="auto"/>
          <w:lang w:val="en"/>
        </w:rPr>
        <w:t>The main purpose of</w:t>
      </w:r>
      <w:r w:rsidRPr="00AC4406">
        <w:rPr>
          <w:b/>
          <w:color w:val="auto"/>
          <w:lang w:val="en"/>
        </w:rPr>
        <w:t xml:space="preserve"> </w:t>
      </w:r>
      <w:r w:rsidRPr="00467955">
        <w:rPr>
          <w:bCs/>
          <w:color w:val="auto"/>
          <w:lang w:val="en"/>
        </w:rPr>
        <w:t>the</w:t>
      </w:r>
      <w:r w:rsidR="00467955">
        <w:rPr>
          <w:b/>
          <w:color w:val="auto"/>
          <w:lang w:val="en"/>
        </w:rPr>
        <w:t xml:space="preserve"> </w:t>
      </w:r>
      <w:r w:rsidRPr="00AC4406">
        <w:rPr>
          <w:color w:val="auto"/>
          <w:lang w:val="en"/>
        </w:rPr>
        <w:t xml:space="preserve">draft Law of Ukraine </w:t>
      </w:r>
      <w:r w:rsidRPr="00AC4406">
        <w:rPr>
          <w:b/>
          <w:color w:val="auto"/>
          <w:lang w:val="en"/>
        </w:rPr>
        <w:t>"</w:t>
      </w:r>
      <w:r w:rsidRPr="00AC4406">
        <w:rPr>
          <w:color w:val="auto"/>
          <w:lang w:val="en"/>
        </w:rPr>
        <w:t>On Amendments to the Tax Code of Ukraine on the Revision of Excise Tax Rates on Tobacco Products" (the "Draft Law") is:</w:t>
      </w:r>
    </w:p>
    <w:p w14:paraId="35339B74" w14:textId="7909E33E" w:rsidR="00AC4406" w:rsidRPr="00AC4406" w:rsidRDefault="00E20CD2" w:rsidP="00AC4406">
      <w:pPr>
        <w:pStyle w:val="a4"/>
        <w:ind w:left="360" w:firstLine="560"/>
        <w:jc w:val="both"/>
        <w:rPr>
          <w:color w:val="auto"/>
        </w:rPr>
      </w:pPr>
      <w:r w:rsidRPr="00AC4406">
        <w:rPr>
          <w:color w:val="auto"/>
          <w:lang w:val="en"/>
        </w:rPr>
        <w:t xml:space="preserve">the gradual increase of specific excise tax rates on cigarettes until 2028 to reach the minimum level set by Council Directive 2011/64/EU of June 21, 2011 on the structure and rates of the excise duty on tobacco products (codification) (hereinafter referred to as Directive 2011/64/EU), with a simultaneous equivalent increase in such rates for tobacco, manufactured tobacco substitutes and a reduction in their amount for electrically heated tobacco products (hereinafter referred to as </w:t>
      </w:r>
      <w:r>
        <w:rPr>
          <w:color w:val="auto"/>
          <w:lang w:val="en"/>
        </w:rPr>
        <w:t>HTP</w:t>
      </w:r>
      <w:r w:rsidRPr="00AC4406">
        <w:rPr>
          <w:color w:val="auto"/>
          <w:lang w:val="en"/>
        </w:rPr>
        <w:t>);</w:t>
      </w:r>
    </w:p>
    <w:p w14:paraId="17DF91F3" w14:textId="77777777" w:rsidR="00AC4406" w:rsidRPr="00AC4406" w:rsidRDefault="00E20CD2" w:rsidP="00AC4406">
      <w:pPr>
        <w:pStyle w:val="a4"/>
        <w:ind w:left="360" w:firstLine="560"/>
        <w:jc w:val="both"/>
        <w:rPr>
          <w:color w:val="auto"/>
        </w:rPr>
      </w:pPr>
      <w:r w:rsidRPr="00AC4406">
        <w:rPr>
          <w:color w:val="auto"/>
          <w:lang w:val="en"/>
        </w:rPr>
        <w:t>setting the monetary measurement unit for the excise tax rate on tobacco products in euros to avoid the impact of inflation on the increase of excise tax rates;</w:t>
      </w:r>
    </w:p>
    <w:p w14:paraId="76EEE4D3" w14:textId="77777777" w:rsidR="00AC4406" w:rsidRPr="00AC4406" w:rsidRDefault="00E20CD2" w:rsidP="00AC4406">
      <w:pPr>
        <w:pStyle w:val="a4"/>
        <w:spacing w:after="280"/>
        <w:ind w:left="360" w:firstLine="560"/>
        <w:jc w:val="both"/>
        <w:rPr>
          <w:color w:val="auto"/>
        </w:rPr>
      </w:pPr>
      <w:r w:rsidRPr="00AC4406">
        <w:rPr>
          <w:color w:val="auto"/>
          <w:lang w:val="en"/>
        </w:rPr>
        <w:t>clarification of certain provisions in the administration of the excise tax on tobacco products to ensure the full application of the law.</w:t>
      </w:r>
    </w:p>
    <w:p w14:paraId="45CD72C8" w14:textId="77777777" w:rsidR="00AC4406" w:rsidRPr="00AC4406" w:rsidRDefault="00E20CD2" w:rsidP="00AC4406">
      <w:pPr>
        <w:pStyle w:val="Heading10"/>
        <w:keepNext/>
        <w:keepLines/>
        <w:numPr>
          <w:ilvl w:val="0"/>
          <w:numId w:val="1"/>
        </w:numPr>
        <w:tabs>
          <w:tab w:val="left" w:pos="1288"/>
        </w:tabs>
        <w:jc w:val="both"/>
        <w:rPr>
          <w:color w:val="auto"/>
        </w:rPr>
      </w:pPr>
      <w:r w:rsidRPr="00AC4406">
        <w:rPr>
          <w:color w:val="auto"/>
          <w:lang w:val="en"/>
        </w:rPr>
        <w:t>Rationale for the adoption of the act</w:t>
      </w:r>
    </w:p>
    <w:p w14:paraId="75B92D82" w14:textId="77777777" w:rsidR="00AC4406" w:rsidRPr="00AC4406" w:rsidRDefault="00E20CD2" w:rsidP="00AC4406">
      <w:pPr>
        <w:pStyle w:val="a4"/>
        <w:ind w:left="360" w:firstLine="560"/>
        <w:jc w:val="both"/>
        <w:rPr>
          <w:color w:val="auto"/>
        </w:rPr>
      </w:pPr>
      <w:r w:rsidRPr="00AC4406">
        <w:rPr>
          <w:color w:val="auto"/>
          <w:lang w:val="en"/>
        </w:rPr>
        <w:t>Annex XXVIII to Chapter 4, Taxation of Section V, Economic and Sectoral Cooperation, of the Association Agreement between Ukraine, on the one hand, and the European Union, the European Atomic Energy Community and their Member States, on the other hand (hereinafter referred to as the "Association Agreement"), provides for the implementation of the provisions of Directive 2011/64/EU.</w:t>
      </w:r>
    </w:p>
    <w:p w14:paraId="5C13BFAC" w14:textId="77777777" w:rsidR="00AC4406" w:rsidRPr="00AC4406" w:rsidRDefault="00E20CD2" w:rsidP="00AC4406">
      <w:pPr>
        <w:pStyle w:val="a4"/>
        <w:ind w:left="360" w:firstLine="560"/>
        <w:jc w:val="both"/>
        <w:rPr>
          <w:color w:val="auto"/>
        </w:rPr>
      </w:pPr>
      <w:r w:rsidRPr="00AC4406">
        <w:rPr>
          <w:color w:val="auto"/>
          <w:lang w:val="en"/>
        </w:rPr>
        <w:t>Pursuant to Article 10(2) of the Directive, the total excise tax on cigarettes (specific and ad valorem) in the EU Member States must be at least 60% of the weighted average retail selling price of cigarettes produced for consumption and must not be less than EUR 90 per 1,000 cigarettes, regardless of the weighted average retail selling price. In comparison, as of November 28, 2023 (NBU exchange rate for EUR 1 - UAH 39.66), the minimum tax on cigarettes in Ukraine is UAH 2097.12 (EUR 53) per 1000 pieces.</w:t>
      </w:r>
    </w:p>
    <w:p w14:paraId="7CAD159A" w14:textId="77777777" w:rsidR="00AC4406" w:rsidRPr="00AC4406" w:rsidRDefault="00E20CD2" w:rsidP="00AC4406">
      <w:pPr>
        <w:pStyle w:val="a4"/>
        <w:ind w:left="360" w:firstLine="560"/>
        <w:jc w:val="both"/>
        <w:rPr>
          <w:color w:val="auto"/>
        </w:rPr>
      </w:pPr>
      <w:r w:rsidRPr="00AC4406">
        <w:rPr>
          <w:color w:val="auto"/>
          <w:lang w:val="en"/>
        </w:rPr>
        <w:t>The proposed draft law amends the Tax Code of Ukraine ("Code") to gradually bring excise tax rates on tobacco products in line with Directive 2011/64/EU, which will ensure the implementation of European norms in national legislation.</w:t>
      </w:r>
    </w:p>
    <w:p w14:paraId="2B6C4857" w14:textId="77777777" w:rsidR="00737C48" w:rsidRDefault="00E20CD2" w:rsidP="00AB27E2">
      <w:pPr>
        <w:pStyle w:val="a4"/>
        <w:ind w:left="357" w:firstLine="561"/>
        <w:jc w:val="both"/>
        <w:rPr>
          <w:color w:val="auto"/>
          <w:lang w:val="en"/>
        </w:rPr>
      </w:pPr>
      <w:r w:rsidRPr="00AC4406">
        <w:rPr>
          <w:color w:val="auto"/>
          <w:lang w:val="en"/>
        </w:rPr>
        <w:t xml:space="preserve">At the same time, in accordance with the national approaches to excise taxation of newer tobacco products in most EU countries, which allow for the consideration of a potentially reduced risk of their consumption to human health, the draft law proposes to introduce a reduced excise tax rate for </w:t>
      </w:r>
      <w:r>
        <w:rPr>
          <w:color w:val="auto"/>
          <w:lang w:val="en-GB"/>
        </w:rPr>
        <w:t>HTP</w:t>
      </w:r>
      <w:r w:rsidRPr="00AC4406">
        <w:rPr>
          <w:color w:val="auto"/>
          <w:lang w:val="en"/>
        </w:rPr>
        <w:t xml:space="preserve"> products compared to cigarettes.</w:t>
      </w:r>
    </w:p>
    <w:p w14:paraId="2CBBA00E" w14:textId="77777777" w:rsidR="00AB27E2" w:rsidRDefault="00E20CD2" w:rsidP="00AB27E2">
      <w:pPr>
        <w:pStyle w:val="a4"/>
        <w:ind w:left="357" w:firstLine="561"/>
        <w:jc w:val="both"/>
        <w:rPr>
          <w:color w:val="auto"/>
          <w:lang w:val="en"/>
        </w:rPr>
      </w:pPr>
      <w:r w:rsidRPr="00AC4406">
        <w:rPr>
          <w:color w:val="auto"/>
          <w:lang w:val="en"/>
        </w:rPr>
        <w:t xml:space="preserve">Additionally, the provisions of the draft law are aimed at defining the monetary unit of measurement of the excise tax rate on tobacco products in euros to avoid the negative impact of inflationary processes on the fiscal and social aims of excise </w:t>
      </w:r>
      <w:r w:rsidRPr="00AC4406">
        <w:rPr>
          <w:color w:val="auto"/>
          <w:lang w:val="en"/>
        </w:rPr>
        <w:lastRenderedPageBreak/>
        <w:t>taxation.</w:t>
      </w:r>
    </w:p>
    <w:p w14:paraId="36525570" w14:textId="1DB10FE6" w:rsidR="00AC4406" w:rsidRDefault="00E20CD2" w:rsidP="00AB27E2">
      <w:pPr>
        <w:pStyle w:val="a4"/>
        <w:ind w:left="357" w:firstLine="561"/>
        <w:jc w:val="both"/>
        <w:rPr>
          <w:color w:val="auto"/>
          <w:lang w:val="en"/>
        </w:rPr>
      </w:pPr>
      <w:r w:rsidRPr="00AC4406">
        <w:rPr>
          <w:color w:val="auto"/>
          <w:lang w:val="en"/>
        </w:rPr>
        <w:t>As well, the provisions of the Code need to be amended to clarify the specifics of calculating the amount of excise tax on tobacco products at rates set in euros.</w:t>
      </w:r>
    </w:p>
    <w:p w14:paraId="57F42412" w14:textId="77777777" w:rsidR="00AB27E2" w:rsidRPr="00AC4406" w:rsidRDefault="00AB27E2" w:rsidP="00AB27E2">
      <w:pPr>
        <w:pStyle w:val="a4"/>
        <w:ind w:left="357" w:firstLine="561"/>
        <w:jc w:val="both"/>
        <w:rPr>
          <w:color w:val="auto"/>
        </w:rPr>
      </w:pPr>
    </w:p>
    <w:p w14:paraId="0FA48447" w14:textId="77777777" w:rsidR="00AC4406" w:rsidRPr="00AC4406" w:rsidRDefault="00E20CD2" w:rsidP="00AC4406">
      <w:pPr>
        <w:pStyle w:val="Heading10"/>
        <w:keepNext/>
        <w:keepLines/>
        <w:numPr>
          <w:ilvl w:val="0"/>
          <w:numId w:val="1"/>
        </w:numPr>
        <w:tabs>
          <w:tab w:val="left" w:pos="1317"/>
        </w:tabs>
        <w:jc w:val="both"/>
        <w:rPr>
          <w:color w:val="auto"/>
        </w:rPr>
      </w:pPr>
      <w:r w:rsidRPr="00AC4406">
        <w:rPr>
          <w:color w:val="auto"/>
          <w:lang w:val="en"/>
        </w:rPr>
        <w:t>Main provisions of the draft law</w:t>
      </w:r>
    </w:p>
    <w:p w14:paraId="3573626C" w14:textId="77777777" w:rsidR="00AC4406" w:rsidRPr="00AC4406" w:rsidRDefault="00E20CD2" w:rsidP="00AC4406">
      <w:pPr>
        <w:pStyle w:val="a4"/>
        <w:ind w:firstLine="920"/>
        <w:jc w:val="both"/>
        <w:rPr>
          <w:color w:val="auto"/>
        </w:rPr>
      </w:pPr>
      <w:r w:rsidRPr="00AC4406">
        <w:rPr>
          <w:color w:val="auto"/>
          <w:lang w:val="en"/>
        </w:rPr>
        <w:t>The draft law proposes to amend the Code, which will:</w:t>
      </w:r>
    </w:p>
    <w:p w14:paraId="26939FC7" w14:textId="338F4FC4" w:rsidR="00AC4406" w:rsidRPr="00AC4406" w:rsidRDefault="00E20CD2" w:rsidP="00AC4406">
      <w:pPr>
        <w:pStyle w:val="a4"/>
        <w:ind w:left="360" w:firstLine="560"/>
        <w:jc w:val="both"/>
        <w:rPr>
          <w:color w:val="auto"/>
        </w:rPr>
      </w:pPr>
      <w:r w:rsidRPr="00AC4406">
        <w:rPr>
          <w:color w:val="auto"/>
          <w:lang w:val="en"/>
        </w:rPr>
        <w:t xml:space="preserve">in subparagraphs 215.3.2 and 215.3.3 of paragraph 215.3 of Article 215 of the Code, establish new excise tax rates on tobacco products from January 1, 2028, taking into account the minimum level set by Directive 2011/64/EU, while reducing the excise tax on </w:t>
      </w:r>
      <w:r>
        <w:rPr>
          <w:color w:val="auto"/>
          <w:lang w:val="en"/>
        </w:rPr>
        <w:t>HTP</w:t>
      </w:r>
      <w:r w:rsidRPr="00AC4406">
        <w:rPr>
          <w:color w:val="auto"/>
          <w:lang w:val="en"/>
        </w:rPr>
        <w:t>. At the same time, paragraph 17 of subsection 5 of section XX, Transitional Provisions, of the Code provides for a gradual annual increase in excise tax rates starting from July 1, 2024 to December 31, 2027 to raise them to the specified minimum level;</w:t>
      </w:r>
    </w:p>
    <w:p w14:paraId="08656745" w14:textId="77777777" w:rsidR="00AC4406" w:rsidRPr="00AC4406" w:rsidRDefault="00E20CD2" w:rsidP="00AC4406">
      <w:pPr>
        <w:pStyle w:val="a4"/>
        <w:ind w:left="360" w:firstLine="560"/>
        <w:jc w:val="both"/>
        <w:rPr>
          <w:color w:val="auto"/>
        </w:rPr>
      </w:pPr>
      <w:r w:rsidRPr="00AC4406">
        <w:rPr>
          <w:color w:val="auto"/>
          <w:lang w:val="en"/>
        </w:rPr>
        <w:t>establish the euro as the monetary unit of measurement of the excise tax rate on tobacco products;</w:t>
      </w:r>
    </w:p>
    <w:p w14:paraId="35376A9B" w14:textId="77777777" w:rsidR="00AC4406" w:rsidRPr="00AC4406" w:rsidRDefault="00E20CD2" w:rsidP="00AC4406">
      <w:pPr>
        <w:pStyle w:val="a4"/>
        <w:spacing w:after="280"/>
        <w:ind w:left="360" w:firstLine="560"/>
        <w:jc w:val="both"/>
        <w:rPr>
          <w:color w:val="auto"/>
        </w:rPr>
      </w:pPr>
      <w:r w:rsidRPr="00AC4406">
        <w:rPr>
          <w:color w:val="auto"/>
          <w:lang w:val="en"/>
        </w:rPr>
        <w:t>in paragraph 39</w:t>
      </w:r>
      <w:r w:rsidRPr="00AC4406">
        <w:rPr>
          <w:color w:val="auto"/>
          <w:vertAlign w:val="superscript"/>
          <w:lang w:val="en"/>
        </w:rPr>
        <w:t>1</w:t>
      </w:r>
      <w:r w:rsidRPr="00AC4406">
        <w:rPr>
          <w:color w:val="auto"/>
          <w:lang w:val="en"/>
        </w:rPr>
        <w:t>.1 of Article 39</w:t>
      </w:r>
      <w:r w:rsidRPr="00AC4406">
        <w:rPr>
          <w:color w:val="auto"/>
          <w:vertAlign w:val="superscript"/>
          <w:lang w:val="en"/>
        </w:rPr>
        <w:t>1</w:t>
      </w:r>
      <w:r w:rsidRPr="00AC4406">
        <w:rPr>
          <w:color w:val="auto"/>
          <w:lang w:val="en"/>
        </w:rPr>
        <w:t>, paragraph 217.3 of Article 217 and subparagraph 222.2.2 of paragraph 222.2 of Article 222 of the Code to provide for the specifics of the procedure for calculating the excise tax on tobacco products at rates expressed in foreign currency.</w:t>
      </w:r>
    </w:p>
    <w:p w14:paraId="2A017A0D" w14:textId="77777777" w:rsidR="00AC4406" w:rsidRPr="00AC4406" w:rsidRDefault="00E20CD2" w:rsidP="00AC4406">
      <w:pPr>
        <w:pStyle w:val="Heading10"/>
        <w:keepNext/>
        <w:keepLines/>
        <w:numPr>
          <w:ilvl w:val="0"/>
          <w:numId w:val="1"/>
        </w:numPr>
        <w:tabs>
          <w:tab w:val="left" w:pos="1312"/>
        </w:tabs>
        <w:jc w:val="both"/>
        <w:rPr>
          <w:color w:val="auto"/>
        </w:rPr>
      </w:pPr>
      <w:r w:rsidRPr="00AC4406">
        <w:rPr>
          <w:color w:val="auto"/>
          <w:lang w:val="en"/>
        </w:rPr>
        <w:t>Legal aspects</w:t>
      </w:r>
    </w:p>
    <w:p w14:paraId="15B411FA" w14:textId="77777777" w:rsidR="00AC4406" w:rsidRPr="00AC4406" w:rsidRDefault="00E20CD2" w:rsidP="00AC4406">
      <w:pPr>
        <w:pStyle w:val="a4"/>
        <w:spacing w:after="280"/>
        <w:ind w:firstLine="920"/>
        <w:jc w:val="both"/>
        <w:rPr>
          <w:color w:val="auto"/>
        </w:rPr>
      </w:pPr>
      <w:r w:rsidRPr="00AC4406">
        <w:rPr>
          <w:color w:val="auto"/>
          <w:lang w:val="en"/>
        </w:rPr>
        <w:t>Legal considerations in this area are regulated by the Tax Code of Ukraine.</w:t>
      </w:r>
    </w:p>
    <w:p w14:paraId="382261B6" w14:textId="77777777" w:rsidR="00AC4406" w:rsidRPr="00AC4406" w:rsidRDefault="00E20CD2" w:rsidP="00AC4406">
      <w:pPr>
        <w:pStyle w:val="Heading10"/>
        <w:keepNext/>
        <w:keepLines/>
        <w:numPr>
          <w:ilvl w:val="0"/>
          <w:numId w:val="1"/>
        </w:numPr>
        <w:tabs>
          <w:tab w:val="left" w:pos="1312"/>
        </w:tabs>
        <w:jc w:val="both"/>
        <w:rPr>
          <w:color w:val="auto"/>
        </w:rPr>
      </w:pPr>
      <w:r w:rsidRPr="00AC4406">
        <w:rPr>
          <w:color w:val="auto"/>
          <w:lang w:val="en"/>
        </w:rPr>
        <w:t>Financial and economic feasibility considerations</w:t>
      </w:r>
    </w:p>
    <w:p w14:paraId="1A0B5E4F" w14:textId="77777777" w:rsidR="00AC4406" w:rsidRPr="00AC4406" w:rsidRDefault="00E20CD2" w:rsidP="00AC4406">
      <w:pPr>
        <w:pStyle w:val="a4"/>
        <w:spacing w:after="280"/>
        <w:ind w:left="360" w:firstLine="560"/>
        <w:jc w:val="both"/>
        <w:rPr>
          <w:color w:val="auto"/>
        </w:rPr>
      </w:pPr>
      <w:r w:rsidRPr="00AC4406">
        <w:rPr>
          <w:color w:val="auto"/>
          <w:lang w:val="en"/>
        </w:rPr>
        <w:t>The implementation of the draft law will result in an increase in budget revenues due to additional excise tax revenues on tobacco products in the amount of approximately UAH 612 million in 2025, UAH 5,001 million in 2026, UAH 9,379 million in 2027, and UAH 13,852 million in 2028.</w:t>
      </w:r>
    </w:p>
    <w:p w14:paraId="412DB259" w14:textId="77777777" w:rsidR="00AC4406" w:rsidRPr="00AC4406" w:rsidRDefault="00E20CD2" w:rsidP="00AC4406">
      <w:pPr>
        <w:pStyle w:val="Heading10"/>
        <w:keepNext/>
        <w:keepLines/>
        <w:numPr>
          <w:ilvl w:val="0"/>
          <w:numId w:val="1"/>
        </w:numPr>
        <w:tabs>
          <w:tab w:val="left" w:pos="1307"/>
        </w:tabs>
        <w:jc w:val="both"/>
        <w:rPr>
          <w:color w:val="auto"/>
        </w:rPr>
      </w:pPr>
      <w:r w:rsidRPr="00AC4406">
        <w:rPr>
          <w:color w:val="auto"/>
          <w:lang w:val="en"/>
        </w:rPr>
        <w:t>Stakeholder response</w:t>
      </w:r>
    </w:p>
    <w:p w14:paraId="111FDC46" w14:textId="77777777" w:rsidR="00AC4406" w:rsidRPr="00AC4406" w:rsidRDefault="00E20CD2" w:rsidP="00AB27E2">
      <w:pPr>
        <w:pStyle w:val="a4"/>
        <w:ind w:left="357" w:firstLine="560"/>
        <w:jc w:val="both"/>
        <w:rPr>
          <w:color w:val="auto"/>
        </w:rPr>
      </w:pPr>
      <w:r w:rsidRPr="00AC4406">
        <w:rPr>
          <w:color w:val="auto"/>
          <w:lang w:val="en"/>
        </w:rPr>
        <w:t>The draft law does not concern the functioning of local self-government, the rights and interests of territorial communities, local and regional development, social and labor sector, the rights of persons with disabilities, research and technical activities and does not require the identification of authorized representatives of national Ukrainian associations of local self-government bodies, national trade unions, their associations, national associations of employer organizations, national public organizations of disabled persons, their unions, the Scientific Committee of the National Council of Ukraine for Science and Technology Development.</w:t>
      </w:r>
    </w:p>
    <w:p w14:paraId="0E52180A" w14:textId="77777777" w:rsidR="00AC4406" w:rsidRDefault="00E20CD2" w:rsidP="00AB27E2">
      <w:pPr>
        <w:pStyle w:val="a4"/>
        <w:ind w:left="357" w:firstLine="580"/>
        <w:jc w:val="both"/>
        <w:rPr>
          <w:color w:val="auto"/>
          <w:lang w:val="en"/>
        </w:rPr>
      </w:pPr>
      <w:r w:rsidRPr="00AC4406">
        <w:rPr>
          <w:color w:val="auto"/>
          <w:lang w:val="en"/>
        </w:rPr>
        <w:t xml:space="preserve">The draft law requires approval by the Ministry of Economy of Ukraine, the Ministry of Digital Transformation of Ukraine, the Ministry of Agrarian Policy and Food of Ukraine, the State Tax Service of Ukraine, the State Customs Service of Ukraine, the State Regulatory Service of Ukraine and a legal review by the Ministry </w:t>
      </w:r>
      <w:r w:rsidRPr="00AC4406">
        <w:rPr>
          <w:color w:val="auto"/>
          <w:lang w:val="en"/>
        </w:rPr>
        <w:lastRenderedPageBreak/>
        <w:t>of Justice of Ukraine.</w:t>
      </w:r>
    </w:p>
    <w:p w14:paraId="4422B00F" w14:textId="77777777" w:rsidR="00AB27E2" w:rsidRPr="00AC4406" w:rsidRDefault="00AB27E2" w:rsidP="00AB27E2">
      <w:pPr>
        <w:pStyle w:val="a4"/>
        <w:ind w:left="357" w:firstLine="580"/>
        <w:jc w:val="both"/>
        <w:rPr>
          <w:color w:val="auto"/>
        </w:rPr>
      </w:pPr>
    </w:p>
    <w:p w14:paraId="7E70EA5B" w14:textId="77777777" w:rsidR="00AC4406" w:rsidRPr="00AC4406" w:rsidRDefault="00E20CD2" w:rsidP="00AC4406">
      <w:pPr>
        <w:pStyle w:val="Heading10"/>
        <w:keepNext/>
        <w:keepLines/>
        <w:numPr>
          <w:ilvl w:val="0"/>
          <w:numId w:val="1"/>
        </w:numPr>
        <w:tabs>
          <w:tab w:val="left" w:pos="1332"/>
        </w:tabs>
        <w:ind w:firstLine="940"/>
        <w:jc w:val="both"/>
        <w:rPr>
          <w:color w:val="auto"/>
        </w:rPr>
      </w:pPr>
      <w:r w:rsidRPr="00AC4406">
        <w:rPr>
          <w:color w:val="auto"/>
          <w:lang w:val="en"/>
        </w:rPr>
        <w:t>Conformity assessment</w:t>
      </w:r>
    </w:p>
    <w:p w14:paraId="4CDBA423" w14:textId="77777777" w:rsidR="00AC4406" w:rsidRPr="00AC4406" w:rsidRDefault="00E20CD2" w:rsidP="00AC4406">
      <w:pPr>
        <w:pStyle w:val="a4"/>
        <w:ind w:left="360" w:firstLine="580"/>
        <w:jc w:val="both"/>
        <w:rPr>
          <w:color w:val="auto"/>
        </w:rPr>
      </w:pPr>
      <w:r w:rsidRPr="00AC4406">
        <w:rPr>
          <w:color w:val="auto"/>
          <w:lang w:val="en"/>
        </w:rPr>
        <w:t>The draft law contains provisions relating to Ukraine's obligations respecting European integration.</w:t>
      </w:r>
    </w:p>
    <w:p w14:paraId="2134AEF4" w14:textId="77777777" w:rsidR="00AC4406" w:rsidRPr="00AC4406" w:rsidRDefault="00E20CD2" w:rsidP="00AC4406">
      <w:pPr>
        <w:pStyle w:val="a4"/>
        <w:ind w:firstLine="940"/>
        <w:jc w:val="both"/>
        <w:rPr>
          <w:color w:val="auto"/>
        </w:rPr>
      </w:pPr>
      <w:r w:rsidRPr="00AC4406">
        <w:rPr>
          <w:color w:val="auto"/>
          <w:lang w:val="en"/>
        </w:rPr>
        <w:t>The draft law does not contain provisions that:</w:t>
      </w:r>
    </w:p>
    <w:p w14:paraId="7D28911E" w14:textId="77777777" w:rsidR="00AC4406" w:rsidRPr="00AC4406" w:rsidRDefault="00E20CD2" w:rsidP="00AC4406">
      <w:pPr>
        <w:pStyle w:val="a4"/>
        <w:ind w:left="360" w:firstLine="580"/>
        <w:jc w:val="both"/>
        <w:rPr>
          <w:color w:val="auto"/>
        </w:rPr>
      </w:pPr>
      <w:r w:rsidRPr="00AC4406">
        <w:rPr>
          <w:color w:val="auto"/>
          <w:lang w:val="en"/>
        </w:rPr>
        <w:t>relate to the rights and freedoms guaranteed by the Convention for the Protection of Human Rights and Fundamental Freedoms;</w:t>
      </w:r>
    </w:p>
    <w:p w14:paraId="18541ADF" w14:textId="77777777" w:rsidR="00AC4406" w:rsidRPr="00AC4406" w:rsidRDefault="00E20CD2" w:rsidP="00AC4406">
      <w:pPr>
        <w:pStyle w:val="a4"/>
        <w:ind w:firstLine="940"/>
        <w:jc w:val="both"/>
        <w:rPr>
          <w:color w:val="auto"/>
        </w:rPr>
      </w:pPr>
      <w:r w:rsidRPr="00AC4406">
        <w:rPr>
          <w:color w:val="auto"/>
          <w:lang w:val="en"/>
        </w:rPr>
        <w:t>affect equal rights and opportunities for women and men;</w:t>
      </w:r>
    </w:p>
    <w:p w14:paraId="6D9790EF" w14:textId="77777777" w:rsidR="00AC4406" w:rsidRPr="00AC4406" w:rsidRDefault="00E20CD2" w:rsidP="00AC4406">
      <w:pPr>
        <w:pStyle w:val="a4"/>
        <w:ind w:left="360" w:firstLine="580"/>
        <w:jc w:val="both"/>
        <w:rPr>
          <w:color w:val="auto"/>
        </w:rPr>
      </w:pPr>
      <w:r w:rsidRPr="00AC4406">
        <w:rPr>
          <w:color w:val="auto"/>
          <w:lang w:val="en"/>
        </w:rPr>
        <w:t>contain risks of corruption and corruption-related offenses;</w:t>
      </w:r>
    </w:p>
    <w:p w14:paraId="6AA01C4E" w14:textId="77777777" w:rsidR="00AC4406" w:rsidRPr="00AC4406" w:rsidRDefault="00E20CD2" w:rsidP="00AC4406">
      <w:pPr>
        <w:pStyle w:val="a4"/>
        <w:ind w:firstLine="940"/>
        <w:jc w:val="both"/>
        <w:rPr>
          <w:color w:val="auto"/>
        </w:rPr>
      </w:pPr>
      <w:r w:rsidRPr="00AC4406">
        <w:rPr>
          <w:color w:val="auto"/>
          <w:lang w:val="en"/>
        </w:rPr>
        <w:t>create grounds for discrimination.</w:t>
      </w:r>
    </w:p>
    <w:p w14:paraId="1B6AC35D" w14:textId="77777777" w:rsidR="00AC4406" w:rsidRPr="00AC4406" w:rsidRDefault="00E20CD2" w:rsidP="00AC4406">
      <w:pPr>
        <w:pStyle w:val="a4"/>
        <w:spacing w:after="280"/>
        <w:ind w:left="360" w:firstLine="580"/>
        <w:jc w:val="both"/>
        <w:rPr>
          <w:color w:val="auto"/>
        </w:rPr>
      </w:pPr>
      <w:r w:rsidRPr="00AC4406">
        <w:rPr>
          <w:color w:val="auto"/>
          <w:lang w:val="en"/>
        </w:rPr>
        <w:t>The draft law should be sent to the National Agency for the Prevention of Corruption to determine the need for an anti-corruption analysis.</w:t>
      </w:r>
    </w:p>
    <w:p w14:paraId="69D59742" w14:textId="77777777" w:rsidR="00AC4406" w:rsidRPr="00AC4406" w:rsidRDefault="00E20CD2" w:rsidP="00AC4406">
      <w:pPr>
        <w:pStyle w:val="Heading10"/>
        <w:keepNext/>
        <w:keepLines/>
        <w:numPr>
          <w:ilvl w:val="0"/>
          <w:numId w:val="1"/>
        </w:numPr>
        <w:tabs>
          <w:tab w:val="left" w:pos="1327"/>
        </w:tabs>
        <w:ind w:firstLine="940"/>
        <w:jc w:val="both"/>
        <w:rPr>
          <w:color w:val="auto"/>
        </w:rPr>
      </w:pPr>
      <w:r w:rsidRPr="00AC4406">
        <w:rPr>
          <w:color w:val="auto"/>
          <w:lang w:val="en"/>
        </w:rPr>
        <w:t>Results forecast</w:t>
      </w:r>
    </w:p>
    <w:p w14:paraId="42189BF6" w14:textId="77777777" w:rsidR="00AC4406" w:rsidRPr="00AC4406" w:rsidRDefault="00E20CD2" w:rsidP="00AC4406">
      <w:pPr>
        <w:pStyle w:val="a4"/>
        <w:tabs>
          <w:tab w:val="center" w:pos="5387"/>
        </w:tabs>
        <w:spacing w:after="600"/>
        <w:ind w:left="360" w:firstLine="580"/>
        <w:jc w:val="both"/>
        <w:rPr>
          <w:color w:val="auto"/>
        </w:rPr>
      </w:pPr>
      <w:r w:rsidRPr="00AC4406">
        <w:rPr>
          <w:color w:val="auto"/>
          <w:lang w:val="en"/>
        </w:rPr>
        <w:t>The adoption of the draft law will ensure the harmonization of the tax legislation of Ukraine in the field of excise taxation of tobacco products with the EU legislation in order to implement the Association Agreement in accordance with Annex XXVIII to Chapter 4, Taxation, of Section V, Economic and Sectoral Cooperation, respecting the implementation of the provisions of Directive 2011/64/EU.</w:t>
      </w:r>
    </w:p>
    <w:p w14:paraId="4524162A" w14:textId="77777777" w:rsidR="00AC4406" w:rsidRPr="00AC4406" w:rsidRDefault="00E20CD2" w:rsidP="00AC4406">
      <w:pPr>
        <w:pStyle w:val="Heading10"/>
        <w:keepNext/>
        <w:keepLines/>
        <w:tabs>
          <w:tab w:val="right" w:pos="9781"/>
        </w:tabs>
        <w:spacing w:after="280"/>
        <w:ind w:firstLine="0"/>
        <w:jc w:val="both"/>
        <w:rPr>
          <w:color w:val="auto"/>
        </w:rPr>
      </w:pPr>
      <w:r w:rsidRPr="00AC4406">
        <w:rPr>
          <w:color w:val="auto"/>
          <w:lang w:val="en"/>
        </w:rPr>
        <w:t>Minister of Finance of Ukraine</w:t>
      </w:r>
      <w:r w:rsidRPr="00AC4406">
        <w:rPr>
          <w:color w:val="auto"/>
          <w:lang w:val="en"/>
        </w:rPr>
        <w:tab/>
        <w:t>Sergii MARCHENKO</w:t>
      </w:r>
    </w:p>
    <w:p w14:paraId="14733562" w14:textId="77777777" w:rsidR="00FF2468" w:rsidRPr="00AC4406" w:rsidRDefault="00E20CD2" w:rsidP="00AC4406">
      <w:pPr>
        <w:pStyle w:val="a4"/>
        <w:tabs>
          <w:tab w:val="left" w:leader="underscore" w:pos="2835"/>
        </w:tabs>
        <w:spacing w:after="280"/>
        <w:ind w:firstLine="0"/>
        <w:jc w:val="both"/>
        <w:rPr>
          <w:color w:val="auto"/>
        </w:rPr>
      </w:pPr>
      <w:r w:rsidRPr="00AC4406">
        <w:rPr>
          <w:color w:val="auto"/>
          <w:lang w:val="en"/>
        </w:rPr>
        <w:t xml:space="preserve">«___» </w:t>
      </w:r>
      <w:r w:rsidRPr="00AC4406">
        <w:rPr>
          <w:color w:val="auto"/>
          <w:lang w:val="en"/>
        </w:rPr>
        <w:tab/>
        <w:t>_________, 2023</w:t>
      </w:r>
    </w:p>
    <w:sectPr w:rsidR="00FF2468" w:rsidRPr="00AC4406" w:rsidSect="007C590B">
      <w:headerReference w:type="even" r:id="rId8"/>
      <w:headerReference w:type="default" r:id="rId9"/>
      <w:footerReference w:type="first" r:id="rId10"/>
      <w:pgSz w:w="11909" w:h="16834"/>
      <w:pgMar w:top="1134" w:right="567" w:bottom="1985" w:left="1418" w:header="567" w:footer="28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C77B9" w14:textId="77777777" w:rsidR="005E2DC2" w:rsidRDefault="005E2DC2">
      <w:r>
        <w:separator/>
      </w:r>
    </w:p>
  </w:endnote>
  <w:endnote w:type="continuationSeparator" w:id="0">
    <w:p w14:paraId="5C515A2A" w14:textId="77777777" w:rsidR="005E2DC2" w:rsidRDefault="005E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Overlap w:val="never"/>
      <w:tblW w:w="0" w:type="auto"/>
      <w:jc w:val="center"/>
      <w:tblLayout w:type="fixed"/>
      <w:tblCellMar>
        <w:top w:w="28" w:type="dxa"/>
        <w:left w:w="28" w:type="dxa"/>
        <w:bottom w:w="28" w:type="dxa"/>
        <w:right w:w="28" w:type="dxa"/>
      </w:tblCellMar>
      <w:tblLook w:val="0000" w:firstRow="0" w:lastRow="0" w:firstColumn="0" w:lastColumn="0" w:noHBand="0" w:noVBand="0"/>
    </w:tblPr>
    <w:tblGrid>
      <w:gridCol w:w="1464"/>
      <w:gridCol w:w="5150"/>
      <w:gridCol w:w="3283"/>
    </w:tblGrid>
    <w:tr w:rsidR="00A20DB0" w14:paraId="20EBD37B" w14:textId="77777777" w:rsidTr="0024543A">
      <w:trPr>
        <w:trHeight w:val="23"/>
        <w:jc w:val="center"/>
      </w:trPr>
      <w:tc>
        <w:tcPr>
          <w:tcW w:w="1464" w:type="dxa"/>
          <w:shd w:val="clear" w:color="auto" w:fill="auto"/>
        </w:tcPr>
        <w:p w14:paraId="5AB7E73D" w14:textId="77777777" w:rsidR="00AC4406" w:rsidRPr="00AC4406" w:rsidRDefault="00E20CD2" w:rsidP="00AC4406">
          <w:pPr>
            <w:rPr>
              <w:color w:val="auto"/>
              <w:sz w:val="2"/>
              <w:szCs w:val="2"/>
            </w:rPr>
          </w:pPr>
          <w:r w:rsidRPr="006D1538">
            <w:rPr>
              <w:i/>
              <w:iCs/>
              <w:color w:val="auto"/>
              <w:sz w:val="20"/>
              <w:szCs w:val="2"/>
              <w:lang w:val="en"/>
            </w:rPr>
            <w:t>QR code/</w:t>
          </w:r>
        </w:p>
      </w:tc>
      <w:tc>
        <w:tcPr>
          <w:tcW w:w="5150" w:type="dxa"/>
          <w:shd w:val="clear" w:color="auto" w:fill="auto"/>
          <w:vAlign w:val="center"/>
        </w:tcPr>
        <w:p w14:paraId="5C2EFD3B" w14:textId="77777777" w:rsidR="00AC4406" w:rsidRPr="00AC4406" w:rsidRDefault="00E20CD2" w:rsidP="00AC4406">
          <w:pPr>
            <w:pStyle w:val="Other0"/>
            <w:spacing w:after="120"/>
            <w:ind w:firstLine="0"/>
            <w:rPr>
              <w:rFonts w:ascii="Arial" w:hAnsi="Arial" w:cs="Arial"/>
              <w:color w:val="auto"/>
              <w:sz w:val="16"/>
              <w:szCs w:val="16"/>
            </w:rPr>
          </w:pPr>
          <w:r w:rsidRPr="00AC4406">
            <w:rPr>
              <w:rFonts w:ascii="Arial" w:eastAsia="Arial" w:hAnsi="Arial" w:cs="Arial"/>
              <w:color w:val="auto"/>
              <w:sz w:val="16"/>
              <w:szCs w:val="16"/>
              <w:lang w:val="en"/>
            </w:rPr>
            <w:t>ELECTRONIC DOCUMENT MANAGEMENT SYSTEM Ministry of Finance ASKOD</w:t>
          </w:r>
        </w:p>
        <w:p w14:paraId="11B59F39" w14:textId="77777777" w:rsidR="00AC4406" w:rsidRPr="00AC4406" w:rsidRDefault="00E20CD2" w:rsidP="00AC4406">
          <w:pPr>
            <w:pStyle w:val="Other0"/>
            <w:ind w:firstLine="0"/>
            <w:rPr>
              <w:rFonts w:ascii="Arial" w:hAnsi="Arial" w:cs="Arial"/>
              <w:color w:val="auto"/>
              <w:sz w:val="16"/>
              <w:szCs w:val="16"/>
            </w:rPr>
          </w:pPr>
          <w:r w:rsidRPr="00AC4406">
            <w:rPr>
              <w:rFonts w:ascii="Arial" w:eastAsia="Arial" w:hAnsi="Arial" w:cs="Arial"/>
              <w:color w:val="auto"/>
              <w:sz w:val="16"/>
              <w:szCs w:val="16"/>
              <w:lang w:val="en"/>
            </w:rPr>
            <w:t xml:space="preserve">Certificate </w:t>
          </w:r>
          <w:r w:rsidRPr="00AC4406">
            <w:rPr>
              <w:rFonts w:ascii="Arial" w:eastAsia="Arial" w:hAnsi="Arial" w:cs="Arial"/>
              <w:color w:val="auto"/>
              <w:sz w:val="16"/>
              <w:szCs w:val="16"/>
              <w:u w:val="single"/>
              <w:lang w:val="en"/>
            </w:rPr>
            <w:t>26B2648ADD3032E10400000062BD28004F21A900</w:t>
          </w:r>
        </w:p>
        <w:p w14:paraId="7FA9F890" w14:textId="77777777" w:rsidR="00AC4406" w:rsidRPr="00AC4406" w:rsidRDefault="00E20CD2" w:rsidP="00AC4406">
          <w:pPr>
            <w:pStyle w:val="Other0"/>
            <w:ind w:firstLine="0"/>
            <w:rPr>
              <w:rFonts w:ascii="Arial" w:hAnsi="Arial" w:cs="Arial"/>
              <w:color w:val="auto"/>
              <w:sz w:val="16"/>
              <w:szCs w:val="16"/>
            </w:rPr>
          </w:pPr>
          <w:r w:rsidRPr="00AC4406">
            <w:rPr>
              <w:rFonts w:ascii="Arial" w:eastAsia="Arial" w:hAnsi="Arial" w:cs="Arial"/>
              <w:color w:val="auto"/>
              <w:sz w:val="16"/>
              <w:szCs w:val="16"/>
              <w:lang w:val="en"/>
            </w:rPr>
            <w:t xml:space="preserve">Signed by </w:t>
          </w:r>
          <w:proofErr w:type="spellStart"/>
          <w:r w:rsidRPr="00AC4406">
            <w:rPr>
              <w:rFonts w:ascii="Arial" w:eastAsia="Arial" w:hAnsi="Arial" w:cs="Arial"/>
              <w:color w:val="auto"/>
              <w:sz w:val="16"/>
              <w:szCs w:val="16"/>
              <w:u w:val="single"/>
              <w:lang w:val="en"/>
            </w:rPr>
            <w:t>Larysa</w:t>
          </w:r>
          <w:proofErr w:type="spellEnd"/>
          <w:r w:rsidRPr="00AC4406">
            <w:rPr>
              <w:rFonts w:ascii="Arial" w:eastAsia="Arial" w:hAnsi="Arial" w:cs="Arial"/>
              <w:color w:val="auto"/>
              <w:sz w:val="16"/>
              <w:szCs w:val="16"/>
              <w:u w:val="single"/>
              <w:lang w:val="en"/>
            </w:rPr>
            <w:t xml:space="preserve"> </w:t>
          </w:r>
          <w:proofErr w:type="spellStart"/>
          <w:r w:rsidRPr="00AC4406">
            <w:rPr>
              <w:rFonts w:ascii="Arial" w:eastAsia="Arial" w:hAnsi="Arial" w:cs="Arial"/>
              <w:color w:val="auto"/>
              <w:sz w:val="16"/>
              <w:szCs w:val="16"/>
              <w:u w:val="single"/>
              <w:lang w:val="en"/>
            </w:rPr>
            <w:t>Petrivna</w:t>
          </w:r>
          <w:proofErr w:type="spellEnd"/>
          <w:r w:rsidRPr="00AC4406">
            <w:rPr>
              <w:rFonts w:ascii="Arial" w:eastAsia="Arial" w:hAnsi="Arial" w:cs="Arial"/>
              <w:color w:val="auto"/>
              <w:sz w:val="16"/>
              <w:szCs w:val="16"/>
              <w:u w:val="single"/>
              <w:lang w:val="en"/>
            </w:rPr>
            <w:t xml:space="preserve"> </w:t>
          </w:r>
          <w:proofErr w:type="spellStart"/>
          <w:r w:rsidRPr="00AC4406">
            <w:rPr>
              <w:rFonts w:ascii="Arial" w:eastAsia="Arial" w:hAnsi="Arial" w:cs="Arial"/>
              <w:color w:val="auto"/>
              <w:sz w:val="16"/>
              <w:szCs w:val="16"/>
              <w:u w:val="single"/>
              <w:lang w:val="en"/>
            </w:rPr>
            <w:t>Maksymenko</w:t>
          </w:r>
          <w:proofErr w:type="spellEnd"/>
        </w:p>
        <w:p w14:paraId="36B1A89F" w14:textId="77777777" w:rsidR="00AC4406" w:rsidRPr="00AC4406" w:rsidRDefault="00E20CD2" w:rsidP="00AC4406">
          <w:pPr>
            <w:pStyle w:val="Other0"/>
            <w:spacing w:after="60"/>
            <w:ind w:firstLine="0"/>
            <w:rPr>
              <w:rFonts w:ascii="Arial" w:hAnsi="Arial" w:cs="Arial"/>
              <w:color w:val="auto"/>
              <w:sz w:val="16"/>
              <w:szCs w:val="16"/>
            </w:rPr>
          </w:pPr>
          <w:r w:rsidRPr="00AC4406">
            <w:rPr>
              <w:rFonts w:ascii="Arial" w:eastAsia="Arial" w:hAnsi="Arial" w:cs="Arial"/>
              <w:color w:val="auto"/>
              <w:sz w:val="16"/>
              <w:szCs w:val="16"/>
              <w:lang w:val="en"/>
            </w:rPr>
            <w:t xml:space="preserve">Valid from </w:t>
          </w:r>
          <w:r w:rsidRPr="00AC4406">
            <w:rPr>
              <w:rFonts w:ascii="Arial" w:eastAsia="Arial" w:hAnsi="Arial" w:cs="Arial"/>
              <w:color w:val="auto"/>
              <w:sz w:val="16"/>
              <w:szCs w:val="16"/>
              <w:u w:val="single"/>
              <w:lang w:val="en"/>
            </w:rPr>
            <w:t xml:space="preserve">22 September 2022 17:05:20 </w:t>
          </w:r>
          <w:r w:rsidRPr="00AC4406">
            <w:rPr>
              <w:rFonts w:ascii="Arial" w:eastAsia="Arial" w:hAnsi="Arial" w:cs="Arial"/>
              <w:color w:val="auto"/>
              <w:sz w:val="16"/>
              <w:szCs w:val="16"/>
              <w:lang w:val="en"/>
            </w:rPr>
            <w:t xml:space="preserve">to </w:t>
          </w:r>
          <w:r w:rsidRPr="00AC4406">
            <w:rPr>
              <w:rFonts w:ascii="Arial" w:eastAsia="Arial" w:hAnsi="Arial" w:cs="Arial"/>
              <w:color w:val="auto"/>
              <w:sz w:val="16"/>
              <w:szCs w:val="16"/>
              <w:u w:val="single"/>
              <w:lang w:val="en"/>
            </w:rPr>
            <w:t>22 September 2024 17:05:20</w:t>
          </w:r>
        </w:p>
      </w:tc>
      <w:tc>
        <w:tcPr>
          <w:tcW w:w="3283" w:type="dxa"/>
          <w:shd w:val="clear" w:color="auto" w:fill="auto"/>
          <w:vAlign w:val="center"/>
        </w:tcPr>
        <w:p w14:paraId="589E9C6C" w14:textId="77777777" w:rsidR="00AC4406" w:rsidRPr="00AC4406" w:rsidRDefault="00E20CD2" w:rsidP="00AC4406">
          <w:pPr>
            <w:pStyle w:val="Other0"/>
            <w:suppressAutoHyphens/>
            <w:ind w:firstLine="0"/>
            <w:rPr>
              <w:rFonts w:ascii="Arial" w:hAnsi="Arial" w:cs="Arial"/>
              <w:i/>
              <w:iCs/>
              <w:color w:val="auto"/>
              <w:sz w:val="16"/>
              <w:szCs w:val="16"/>
            </w:rPr>
          </w:pPr>
          <w:r w:rsidRPr="00AC4406">
            <w:rPr>
              <w:rFonts w:ascii="Arial" w:hAnsi="Arial" w:cs="Arial"/>
              <w:color w:val="auto"/>
              <w:sz w:val="16"/>
              <w:szCs w:val="16"/>
              <w:lang w:val="en"/>
            </w:rPr>
            <w:t>/</w:t>
          </w:r>
          <w:r w:rsidRPr="00AC4406">
            <w:rPr>
              <w:rFonts w:ascii="Arial" w:hAnsi="Arial" w:cs="Arial"/>
              <w:i/>
              <w:iCs/>
              <w:color w:val="auto"/>
              <w:sz w:val="16"/>
              <w:szCs w:val="16"/>
              <w:lang w:val="en"/>
            </w:rPr>
            <w:t>/Barcode/</w:t>
          </w:r>
        </w:p>
        <w:p w14:paraId="57E3D212" w14:textId="77777777" w:rsidR="00AC4406" w:rsidRPr="00AC4406" w:rsidRDefault="00E20CD2" w:rsidP="00AC4406">
          <w:pPr>
            <w:pStyle w:val="Other0"/>
            <w:ind w:firstLine="0"/>
            <w:rPr>
              <w:rFonts w:ascii="Arial" w:hAnsi="Arial" w:cs="Arial"/>
              <w:i/>
              <w:iCs/>
              <w:color w:val="auto"/>
              <w:sz w:val="16"/>
              <w:szCs w:val="16"/>
            </w:rPr>
          </w:pPr>
          <w:r w:rsidRPr="00AC4406">
            <w:rPr>
              <w:rFonts w:ascii="Arial" w:eastAsia="Arial" w:hAnsi="Arial" w:cs="Arial"/>
              <w:i/>
              <w:iCs/>
              <w:color w:val="auto"/>
              <w:sz w:val="16"/>
              <w:szCs w:val="16"/>
              <w:lang w:val="en"/>
            </w:rPr>
            <w:t>Ministry of Finance of Ukraine</w:t>
          </w:r>
        </w:p>
        <w:p w14:paraId="59FED986" w14:textId="77777777" w:rsidR="00AC4406" w:rsidRPr="00AC4406" w:rsidRDefault="00E20CD2" w:rsidP="00AC4406">
          <w:pPr>
            <w:pStyle w:val="Other0"/>
            <w:ind w:firstLine="0"/>
            <w:rPr>
              <w:rFonts w:ascii="Arial" w:hAnsi="Arial" w:cs="Arial"/>
              <w:color w:val="auto"/>
              <w:sz w:val="16"/>
              <w:szCs w:val="16"/>
            </w:rPr>
          </w:pPr>
          <w:r w:rsidRPr="00AC4406">
            <w:rPr>
              <w:rFonts w:ascii="Arial" w:eastAsia="Arial" w:hAnsi="Arial" w:cs="Arial"/>
              <w:i/>
              <w:iCs/>
              <w:color w:val="auto"/>
              <w:sz w:val="16"/>
              <w:szCs w:val="16"/>
              <w:lang w:val="en"/>
            </w:rPr>
            <w:t>11320-13/873 dated December 8, 2023/</w:t>
          </w:r>
        </w:p>
      </w:tc>
    </w:tr>
  </w:tbl>
  <w:p w14:paraId="121CDB72" w14:textId="77777777" w:rsidR="00AC4406" w:rsidRDefault="00AC44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FBEB4" w14:textId="77777777" w:rsidR="005E2DC2" w:rsidRDefault="005E2DC2">
      <w:r>
        <w:separator/>
      </w:r>
    </w:p>
  </w:footnote>
  <w:footnote w:type="continuationSeparator" w:id="0">
    <w:p w14:paraId="67D53786" w14:textId="77777777" w:rsidR="005E2DC2" w:rsidRDefault="005E2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00B41" w14:textId="77777777" w:rsidR="00FF2468" w:rsidRDefault="00E20CD2">
    <w:pPr>
      <w:spacing w:line="1" w:lineRule="exact"/>
    </w:pPr>
    <w:r>
      <w:rPr>
        <w:noProof/>
      </w:rPr>
      <mc:AlternateContent>
        <mc:Choice Requires="wps">
          <w:drawing>
            <wp:anchor distT="0" distB="0" distL="0" distR="0" simplePos="0" relativeHeight="251658240" behindDoc="1" locked="0" layoutInCell="1" allowOverlap="1" wp14:anchorId="0B6CA2F4" wp14:editId="61B42E13">
              <wp:simplePos x="0" y="0"/>
              <wp:positionH relativeFrom="page">
                <wp:posOffset>4105275</wp:posOffset>
              </wp:positionH>
              <wp:positionV relativeFrom="page">
                <wp:posOffset>489585</wp:posOffset>
              </wp:positionV>
              <wp:extent cx="6731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14:paraId="58587B06" w14:textId="77777777" w:rsidR="00FF2468" w:rsidRPr="00AC4406" w:rsidRDefault="00E20CD2" w:rsidP="00AC4406">
                          <w:pPr>
                            <w:pStyle w:val="Headerorfooter20"/>
                            <w:rPr>
                              <w:color w:val="auto"/>
                              <w:sz w:val="24"/>
                              <w:szCs w:val="24"/>
                            </w:rPr>
                          </w:pPr>
                          <w:r w:rsidRPr="00AC4406">
                            <w:rPr>
                              <w:color w:val="auto"/>
                              <w:sz w:val="24"/>
                              <w:szCs w:val="24"/>
                              <w:lang w:val="en"/>
                            </w:rPr>
                            <w:t>2</w:t>
                          </w:r>
                        </w:p>
                      </w:txbxContent>
                    </wps:txbx>
                    <wps:bodyPr wrap="none" lIns="0" tIns="0" rIns="0" bIns="0">
                      <a:spAutoFit/>
                    </wps:bodyPr>
                  </wps:wsp>
                </a:graphicData>
              </a:graphic>
            </wp:anchor>
          </w:drawing>
        </mc:Choice>
        <mc:Fallback xmlns:w16sdtdh="http://schemas.microsoft.com/office/word/2020/wordml/sdtdatahash" xmlns:oel="http://schemas.microsoft.com/office/2019/extlst">
          <w:pict>
            <v:shapetype w14:anchorId="0B6CA2F4" id="_x0000_t202" coordsize="21600,21600" o:spt="202" path="m,l,21600r21600,l21600,xe">
              <v:stroke joinstyle="miter"/>
              <v:path gradientshapeok="t" o:connecttype="rect"/>
            </v:shapetype>
            <v:shape id="Shape 3" o:spid="_x0000_s1026" type="#_x0000_t202" style="position:absolute;margin-left:323.25pt;margin-top:38.55pt;width:5.3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" filled="f" stroked="f">
              <v:textbox style="mso-fit-shape-to-text:t" inset="0,0,0,0">
                <w:txbxContent>
                  <w:p w14:paraId="58587B06" w14:textId="77777777" w:rsidR="00FF2468" w:rsidRPr="00AC4406" w:rsidRDefault="00E20CD2" w:rsidP="00AC4406">
                    <w:pPr>
                      <w:pStyle w:val="Headerorfooter20"/>
                      <w:rPr>
                        <w:color w:val="auto"/>
                        <w:sz w:val="24"/>
                        <w:szCs w:val="24"/>
                      </w:rPr>
                    </w:pPr>
                    <w:r w:rsidRPr="00AC4406">
                      <w:rPr>
                        <w:color w:val="auto"/>
                        <w:sz w:val="24"/>
                        <w:szCs w:val="24"/>
                        <w:lang w:val="en"/>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836541"/>
      <w:docPartObj>
        <w:docPartGallery w:val="Page Numbers (Top of Page)"/>
        <w:docPartUnique/>
      </w:docPartObj>
    </w:sdtPr>
    <w:sdtEndPr>
      <w:rPr>
        <w:rFonts w:ascii="Times New Roman" w:hAnsi="Times New Roman" w:cs="Times New Roman"/>
        <w:noProof/>
      </w:rPr>
    </w:sdtEndPr>
    <w:sdtContent>
      <w:p w14:paraId="292D7289" w14:textId="77777777" w:rsidR="00FF2468" w:rsidRPr="00C07ADF" w:rsidRDefault="00E20CD2" w:rsidP="00C07ADF">
        <w:pPr>
          <w:pStyle w:val="a7"/>
          <w:jc w:val="center"/>
          <w:rPr>
            <w:rFonts w:ascii="Times New Roman" w:hAnsi="Times New Roman" w:cs="Times New Roman"/>
          </w:rPr>
        </w:pPr>
        <w:r w:rsidRPr="00B26A09">
          <w:rPr>
            <w:rFonts w:ascii="Times New Roman" w:hAnsi="Times New Roman" w:cs="Times New Roman"/>
          </w:rPr>
          <w:fldChar w:fldCharType="begin"/>
        </w:r>
        <w:r w:rsidRPr="00B26A09">
          <w:rPr>
            <w:rFonts w:ascii="Times New Roman" w:hAnsi="Times New Roman" w:cs="Times New Roman"/>
          </w:rPr>
          <w:instrText xml:space="preserve"> PAGE   \* MERGEFORMAT </w:instrText>
        </w:r>
        <w:r w:rsidRPr="00B26A09">
          <w:rPr>
            <w:rFonts w:ascii="Times New Roman" w:hAnsi="Times New Roman" w:cs="Times New Roman"/>
          </w:rPr>
          <w:fldChar w:fldCharType="separate"/>
        </w:r>
        <w:r w:rsidRPr="00B26A09">
          <w:rPr>
            <w:rFonts w:ascii="Times New Roman" w:hAnsi="Times New Roman" w:cs="Times New Roman"/>
            <w:noProof/>
          </w:rPr>
          <w:t>3</w:t>
        </w:r>
        <w:r w:rsidRPr="00B26A09">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70DD"/>
    <w:multiLevelType w:val="multilevel"/>
    <w:tmpl w:val="44E2E4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468"/>
    <w:rsid w:val="00467955"/>
    <w:rsid w:val="004E13C1"/>
    <w:rsid w:val="005B24B7"/>
    <w:rsid w:val="005E2DC2"/>
    <w:rsid w:val="006D1538"/>
    <w:rsid w:val="00737C48"/>
    <w:rsid w:val="007C590B"/>
    <w:rsid w:val="00A20DB0"/>
    <w:rsid w:val="00AB27E2"/>
    <w:rsid w:val="00AC4406"/>
    <w:rsid w:val="00B26A09"/>
    <w:rsid w:val="00C07ADF"/>
    <w:rsid w:val="00C4038E"/>
    <w:rsid w:val="00E20CD2"/>
    <w:rsid w:val="00FF2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3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styleId="a4">
    <w:name w:val="Body Text"/>
    <w:basedOn w:val="a"/>
    <w:link w:val="a3"/>
    <w:qFormat/>
    <w:pPr>
      <w:ind w:firstLine="400"/>
    </w:pPr>
    <w:rPr>
      <w:rFonts w:ascii="Times New Roman" w:eastAsia="Times New Roman" w:hAnsi="Times New Roman" w:cs="Times New Roman"/>
      <w:sz w:val="28"/>
      <w:szCs w:val="28"/>
    </w:rPr>
  </w:style>
  <w:style w:type="paragraph" w:customStyle="1" w:styleId="Heading10">
    <w:name w:val="Heading #1"/>
    <w:basedOn w:val="a"/>
    <w:link w:val="Heading1"/>
    <w:pPr>
      <w:ind w:firstLine="920"/>
      <w:outlineLvl w:val="0"/>
    </w:pPr>
    <w:rPr>
      <w:rFonts w:ascii="Times New Roman" w:eastAsia="Times New Roman" w:hAnsi="Times New Roman" w:cs="Times New Roman"/>
      <w:b/>
      <w:bCs/>
      <w:sz w:val="28"/>
      <w:szCs w:val="28"/>
    </w:rPr>
  </w:style>
  <w:style w:type="paragraph" w:customStyle="1" w:styleId="Other0">
    <w:name w:val="Other"/>
    <w:basedOn w:val="a"/>
    <w:link w:val="Other"/>
    <w:pPr>
      <w:ind w:firstLine="400"/>
    </w:pPr>
    <w:rPr>
      <w:rFonts w:ascii="Times New Roman" w:eastAsia="Times New Roman" w:hAnsi="Times New Roman" w:cs="Times New Roman"/>
      <w:sz w:val="28"/>
      <w:szCs w:val="28"/>
    </w:rPr>
  </w:style>
  <w:style w:type="paragraph" w:customStyle="1" w:styleId="Headerorfooter20">
    <w:name w:val="Header or footer (2)"/>
    <w:basedOn w:val="a"/>
    <w:link w:val="Headerorfooter2"/>
    <w:rPr>
      <w:rFonts w:ascii="Times New Roman" w:eastAsia="Times New Roman" w:hAnsi="Times New Roman" w:cs="Times New Roman"/>
      <w:sz w:val="20"/>
      <w:szCs w:val="20"/>
      <w:lang w:val="en-US" w:eastAsia="en-US" w:bidi="en-US"/>
    </w:rPr>
  </w:style>
  <w:style w:type="paragraph" w:styleId="a5">
    <w:name w:val="footer"/>
    <w:basedOn w:val="a"/>
    <w:link w:val="a6"/>
    <w:uiPriority w:val="99"/>
    <w:unhideWhenUsed/>
    <w:rsid w:val="00AC4406"/>
    <w:pPr>
      <w:tabs>
        <w:tab w:val="center" w:pos="4677"/>
        <w:tab w:val="right" w:pos="9355"/>
      </w:tabs>
    </w:pPr>
  </w:style>
  <w:style w:type="character" w:customStyle="1" w:styleId="a6">
    <w:name w:val="Нижний колонтитул Знак"/>
    <w:basedOn w:val="a0"/>
    <w:link w:val="a5"/>
    <w:uiPriority w:val="99"/>
    <w:rsid w:val="00AC4406"/>
    <w:rPr>
      <w:color w:val="000000"/>
    </w:rPr>
  </w:style>
  <w:style w:type="paragraph" w:styleId="a7">
    <w:name w:val="header"/>
    <w:basedOn w:val="a"/>
    <w:link w:val="a8"/>
    <w:uiPriority w:val="99"/>
    <w:unhideWhenUsed/>
    <w:rsid w:val="00AC4406"/>
    <w:pPr>
      <w:tabs>
        <w:tab w:val="center" w:pos="4677"/>
        <w:tab w:val="right" w:pos="9355"/>
      </w:tabs>
    </w:pPr>
  </w:style>
  <w:style w:type="character" w:customStyle="1" w:styleId="a8">
    <w:name w:val="Верхний колонтитул Знак"/>
    <w:basedOn w:val="a0"/>
    <w:link w:val="a7"/>
    <w:uiPriority w:val="99"/>
    <w:rsid w:val="00AC4406"/>
    <w:rPr>
      <w:color w:val="000000"/>
    </w:rPr>
  </w:style>
  <w:style w:type="paragraph" w:styleId="a9">
    <w:name w:val="Revision"/>
    <w:hidden/>
    <w:uiPriority w:val="99"/>
    <w:semiHidden/>
    <w:rsid w:val="00E20CD2"/>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D3BD3-AFA0-4E7A-80F5-633B99013814}">
  <ds:schemaRefs>
    <ds:schemaRef ds:uri="http://schemas.openxmlformats.org/officeDocument/2006/bibliography"/>
  </ds:schemaRefs>
</ds:datastoreItem>
</file>

<file path=docMetadata/LabelInfo.xml><?xml version="1.0" encoding="utf-8"?>
<clbl:labelList xmlns:clbl="http://schemas.microsoft.com/office/2020/mipLabelMetadata">
  <clbl:label id="{8b86a65e-3c3a-4406-8ac3-19a6b5cc52bc}" enabled="0" method="" siteId="{8b86a65e-3c3a-4406-8ac3-19a6b5cc52b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2024-02-15T13:31:00Z</dcterms:created>
  <dcterms:modified xsi:type="dcterms:W3CDTF">2024-02-15T13:31:00Z</dcterms:modified>
</cp:coreProperties>
</file>